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jc w:val="right"/>
      </w:pPr>
      <w:r>
        <w:rPr/>
        <w:t>ADOPTED – OCTOBER 27, 2026 AGENDA ITEM NO. 16</w:t>
      </w:r>
    </w:p>
    <w:p>
      <w:pPr>
        <w:pStyle w:val="BodyText"/>
        <w:spacing w:before="7"/>
        <w:rPr>
          <w:b/>
          <w:sz w:val="16"/>
        </w:rPr>
      </w:pPr>
    </w:p>
    <w:p>
      <w:pPr>
        <w:pStyle w:val="BodyText"/>
        <w:spacing w:before="90"/>
        <w:ind w:left="120"/>
      </w:pPr>
      <w:r>
        <w:rPr/>
        <w:t>Introduced by the County Services and Finance Committees of the:</w:t>
      </w:r>
    </w:p>
    <w:p>
      <w:pPr>
        <w:pStyle w:val="BodyText"/>
        <w:spacing w:before="6"/>
        <w:rPr>
          <w:sz w:val="27"/>
        </w:rPr>
      </w:pPr>
    </w:p>
    <w:p>
      <w:pPr>
        <w:pStyle w:val="BodyText"/>
        <w:ind w:left="2824" w:right="2808"/>
        <w:jc w:val="center"/>
      </w:pPr>
      <w:r>
        <w:rPr/>
        <w:t>INGHAM COUNTY BOARD OF COMMISSIONERS</w:t>
      </w:r>
    </w:p>
    <w:p>
      <w:pPr>
        <w:pStyle w:val="BodyText"/>
      </w:pPr>
    </w:p>
    <w:p>
      <w:pPr>
        <w:pStyle w:val="Heading1"/>
        <w:ind w:right="454" w:firstLine="2"/>
      </w:pPr>
      <w:r>
        <w:rPr/>
        <w:t>RESOLUTION TO AUTHORIZE AN AWARD TO LAUX CONSTRUCTION FOR THE CONSTRUCTION OF A SALT BARN AT THE ROAD DEPARTMENT’S WESTERN</w:t>
      </w:r>
      <w:r>
        <w:rPr>
          <w:spacing w:val="-34"/>
        </w:rPr>
        <w:t> </w:t>
      </w:r>
      <w:r>
        <w:rPr/>
        <w:t>GARAGE</w:t>
      </w:r>
    </w:p>
    <w:p>
      <w:pPr>
        <w:pStyle w:val="BodyText"/>
        <w:rPr>
          <w:b/>
        </w:rPr>
      </w:pPr>
    </w:p>
    <w:p>
      <w:pPr>
        <w:spacing w:before="0"/>
        <w:ind w:left="2824" w:right="2804" w:firstLine="0"/>
        <w:jc w:val="center"/>
        <w:rPr>
          <w:b/>
          <w:sz w:val="24"/>
        </w:rPr>
      </w:pPr>
      <w:r>
        <w:rPr>
          <w:b/>
          <w:sz w:val="24"/>
        </w:rPr>
        <w:t>RESOLUTION #26 – 527</w:t>
      </w:r>
    </w:p>
    <w:p>
      <w:pPr>
        <w:pStyle w:val="BodyText"/>
        <w:rPr>
          <w:b/>
          <w:sz w:val="26"/>
        </w:rPr>
      </w:pPr>
    </w:p>
    <w:p>
      <w:pPr>
        <w:pStyle w:val="BodyText"/>
        <w:rPr>
          <w:b/>
          <w:sz w:val="22"/>
        </w:rPr>
      </w:pPr>
    </w:p>
    <w:p>
      <w:pPr>
        <w:pStyle w:val="BodyText"/>
        <w:ind w:left="120"/>
      </w:pPr>
      <w:r>
        <w:rPr/>
        <w:t>WHEREAS, the Purchasing Department solicited proposals from qualified and experienced contractors for the purpose of entering into a contract for construction of a salt barn at the Road Department’s Western Garage; and</w:t>
      </w:r>
    </w:p>
    <w:p>
      <w:pPr>
        <w:pStyle w:val="BodyText"/>
      </w:pPr>
    </w:p>
    <w:p>
      <w:pPr>
        <w:pStyle w:val="BodyText"/>
        <w:ind w:left="120" w:right="749"/>
      </w:pPr>
      <w:r>
        <w:rPr/>
        <w:t>WHEREAS, Laux Construction, a registered local vendor, agreed to reduce its proposal cost to match the lowest responsive bid submitted by a non-local vendor, in accordance with the Ingham County Local Purchasing Preference policy; and</w:t>
      </w:r>
    </w:p>
    <w:p>
      <w:pPr>
        <w:pStyle w:val="BodyText"/>
      </w:pPr>
    </w:p>
    <w:p>
      <w:pPr>
        <w:pStyle w:val="BodyText"/>
        <w:ind w:left="119" w:right="384"/>
      </w:pPr>
      <w:r>
        <w:rPr/>
        <w:t>WHEREAS, after careful review and evaluation of all proposals received, the Road Department recommends awarding a contract to Laux Construction; and</w:t>
      </w:r>
    </w:p>
    <w:p>
      <w:pPr>
        <w:pStyle w:val="BodyText"/>
      </w:pPr>
    </w:p>
    <w:p>
      <w:pPr>
        <w:pStyle w:val="BodyText"/>
        <w:ind w:left="119" w:right="177"/>
      </w:pPr>
      <w:r>
        <w:rPr/>
        <w:t>WHEREAS, a contingency amount equal to ten percent (10%) of the total estimated project cost is requested to cover any unexpected construction expenses.</w:t>
      </w:r>
    </w:p>
    <w:p>
      <w:pPr>
        <w:pStyle w:val="BodyText"/>
      </w:pPr>
    </w:p>
    <w:p>
      <w:pPr>
        <w:pStyle w:val="BodyText"/>
        <w:spacing w:before="1"/>
        <w:ind w:left="119" w:right="189"/>
      </w:pPr>
      <w:r>
        <w:rPr/>
        <w:t>THEREFORE BE IT RESOLVED, that the Ingham County Board of Commissioners hereby approves entering into a contract with Laux Construction for the bid amount of $1,361,100.</w:t>
      </w:r>
    </w:p>
    <w:p>
      <w:pPr>
        <w:pStyle w:val="BodyText"/>
        <w:spacing w:before="11"/>
        <w:rPr>
          <w:sz w:val="23"/>
        </w:rPr>
      </w:pPr>
    </w:p>
    <w:p>
      <w:pPr>
        <w:pStyle w:val="BodyText"/>
        <w:ind w:left="119" w:right="136"/>
      </w:pPr>
      <w:r>
        <w:rPr/>
        <w:t>BE IT FURTHER RESOLVED, that the Ingham County Board of Commissioners authorizes a contingency not to exceed $136,110 to cover additional work items, whether completed in-house by staff or performed by Laux Construction, provided such work items are mutually agreed upon in writing by the Roads Director (or designee) and Laux Construction prior to the commencement of work.</w:t>
      </w:r>
    </w:p>
    <w:p>
      <w:pPr>
        <w:pStyle w:val="BodyText"/>
      </w:pPr>
    </w:p>
    <w:p>
      <w:pPr>
        <w:pStyle w:val="BodyText"/>
        <w:ind w:left="120" w:right="796"/>
        <w:jc w:val="both"/>
      </w:pPr>
      <w:r>
        <w:rPr/>
        <w:t>BE IT FURTHER RESOLVED, that the Ingham County Board of Commissioners authorizes the</w:t>
      </w:r>
      <w:r>
        <w:rPr>
          <w:spacing w:val="-31"/>
        </w:rPr>
        <w:t> </w:t>
      </w:r>
      <w:r>
        <w:rPr/>
        <w:t>Ingham County Road Department to expend $1,497,210 from the 2026 and 2027 Road Fund, budget line 975000 (Capital Outlay – Buildings), for this</w:t>
      </w:r>
      <w:r>
        <w:rPr>
          <w:spacing w:val="-3"/>
        </w:rPr>
        <w:t> </w:t>
      </w:r>
      <w:r>
        <w:rPr/>
        <w:t>project.</w:t>
      </w:r>
    </w:p>
    <w:p>
      <w:pPr>
        <w:pStyle w:val="BodyText"/>
      </w:pPr>
    </w:p>
    <w:p>
      <w:pPr>
        <w:pStyle w:val="BodyText"/>
        <w:ind w:left="119"/>
      </w:pPr>
      <w:r>
        <w:rPr/>
        <w:t>BE IT FURTHER RESOLVED, that the Controller/Administrator is authorized to make any necessary budget adjustments consistent with this resolution.</w:t>
      </w:r>
    </w:p>
    <w:p>
      <w:pPr>
        <w:pStyle w:val="BodyText"/>
      </w:pPr>
    </w:p>
    <w:p>
      <w:pPr>
        <w:pStyle w:val="BodyText"/>
        <w:ind w:left="119" w:right="296"/>
      </w:pPr>
      <w:r>
        <w:rPr/>
        <w:t>BE IT FURTHER RESOLVED, that the Chairperson of the Board of Commissioners is authorized to sign all necessary contract documents on behalf of the County, following approval as to form by the County Attorney.</w:t>
      </w:r>
    </w:p>
    <w:p>
      <w:pPr>
        <w:pStyle w:val="BodyText"/>
        <w:spacing w:before="9"/>
        <w:rPr>
          <w:sz w:val="23"/>
        </w:rPr>
      </w:pPr>
    </w:p>
    <w:p>
      <w:pPr>
        <w:spacing w:before="1"/>
        <w:ind w:left="120" w:right="0" w:firstLine="0"/>
        <w:jc w:val="both"/>
        <w:rPr>
          <w:sz w:val="24"/>
        </w:rPr>
      </w:pPr>
      <w:r>
        <w:rPr>
          <w:b/>
          <w:sz w:val="24"/>
        </w:rPr>
        <w:t>COUNTY SERVICES: Yeas: </w:t>
      </w:r>
      <w:r>
        <w:rPr>
          <w:sz w:val="24"/>
        </w:rPr>
        <w:t>Pratt, Lawrence, Grebner, Sebolt, Peña, Johnson, Maiville</w:t>
      </w:r>
    </w:p>
    <w:p>
      <w:pPr>
        <w:tabs>
          <w:tab w:pos="2231" w:val="left" w:leader="none"/>
          <w:tab w:pos="3938"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  10/20/26</w:t>
      </w:r>
    </w:p>
    <w:p>
      <w:pPr>
        <w:pStyle w:val="BodyText"/>
        <w:spacing w:before="11"/>
        <w:rPr>
          <w:b/>
          <w:sz w:val="23"/>
        </w:rPr>
      </w:pPr>
    </w:p>
    <w:p>
      <w:pPr>
        <w:spacing w:before="0"/>
        <w:ind w:left="120" w:right="0" w:firstLine="0"/>
        <w:jc w:val="both"/>
        <w:rPr>
          <w:sz w:val="24"/>
        </w:rPr>
      </w:pPr>
      <w:r>
        <w:rPr>
          <w:b/>
          <w:sz w:val="24"/>
        </w:rPr>
        <w:t>FINANCE: Yeas: </w:t>
      </w:r>
      <w:r>
        <w:rPr>
          <w:sz w:val="24"/>
        </w:rPr>
        <w:t>Grebner, Morgan, Sebolt, Polsdofer, Pratt, Maiville</w:t>
      </w:r>
    </w:p>
    <w:p>
      <w:pPr>
        <w:tabs>
          <w:tab w:pos="2183" w:val="left" w:leader="none"/>
        </w:tabs>
        <w:spacing w:before="43"/>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472" w:right="98"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2026-10-28T18:53:26Z</dcterms:created>
  <dcterms:modified xsi:type="dcterms:W3CDTF">2026-10-28T18:53:26Z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